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14"/>
        <w:tblpPr w:leftFromText="180" w:rightFromText="180" w:vertAnchor="text" w:horzAnchor="page" w:tblpXSpec="center" w:tblpY="740"/>
        <w:tblOverlap w:val="never"/>
        <w:tblW w:w="14230" w:type="dxa"/>
        <w:jc w:val="center"/>
        <w:tblLayout w:type="fixed"/>
        <w:tblCellMar>
          <w:top w:w="0" w:type="dxa"/>
          <w:left w:w="0" w:type="dxa"/>
          <w:bottom w:w="0" w:type="dxa"/>
          <w:right w:w="0" w:type="dxa"/>
        </w:tblCellMar>
      </w:tblPr>
      <w:tblGrid>
        <w:gridCol w:w="684"/>
        <w:gridCol w:w="1133"/>
        <w:gridCol w:w="1119"/>
        <w:gridCol w:w="1154"/>
        <w:gridCol w:w="1380"/>
        <w:gridCol w:w="1065"/>
        <w:gridCol w:w="1485"/>
        <w:gridCol w:w="1215"/>
        <w:gridCol w:w="4995"/>
      </w:tblGrid>
      <w:tr>
        <w:tblPrEx>
          <w:tblCellMar>
            <w:top w:w="0" w:type="dxa"/>
            <w:left w:w="0" w:type="dxa"/>
            <w:bottom w:w="0" w:type="dxa"/>
            <w:right w:w="0" w:type="dxa"/>
          </w:tblCellMar>
        </w:tblPrEx>
        <w:trPr>
          <w:trHeight w:val="885" w:hRule="atLeast"/>
          <w:jc w:val="center"/>
        </w:trPr>
        <w:tc>
          <w:tcPr>
            <w:tcW w:w="68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13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责任单位</w:t>
            </w:r>
          </w:p>
        </w:tc>
        <w:tc>
          <w:tcPr>
            <w:tcW w:w="111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抽查事项</w:t>
            </w:r>
          </w:p>
        </w:tc>
        <w:tc>
          <w:tcPr>
            <w:tcW w:w="115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检查对象</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检查内容</w:t>
            </w:r>
          </w:p>
        </w:tc>
        <w:tc>
          <w:tcPr>
            <w:tcW w:w="10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事项类别</w:t>
            </w:r>
          </w:p>
        </w:tc>
        <w:tc>
          <w:tcPr>
            <w:tcW w:w="14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检查方式</w:t>
            </w:r>
          </w:p>
        </w:tc>
        <w:tc>
          <w:tcPr>
            <w:tcW w:w="12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检查部门</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实施层级</w:t>
            </w:r>
          </w:p>
        </w:tc>
        <w:tc>
          <w:tcPr>
            <w:tcW w:w="499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检查依据</w:t>
            </w:r>
          </w:p>
        </w:tc>
      </w:tr>
      <w:tr>
        <w:tblPrEx>
          <w:tblCellMar>
            <w:top w:w="0" w:type="dxa"/>
            <w:left w:w="0" w:type="dxa"/>
            <w:bottom w:w="0" w:type="dxa"/>
            <w:right w:w="0" w:type="dxa"/>
          </w:tblCellMar>
        </w:tblPrEx>
        <w:trPr>
          <w:trHeight w:val="3675"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等线" w:eastAsia="仿宋_GB2312" w:cs="仿宋_GB2312"/>
                <w:color w:val="000000"/>
                <w:sz w:val="24"/>
                <w:lang w:eastAsia="zh-CN"/>
              </w:rPr>
            </w:pPr>
            <w:r>
              <w:rPr>
                <w:rFonts w:hint="eastAsia" w:ascii="仿宋_GB2312" w:hAnsi="等线" w:cs="仿宋_GB2312"/>
                <w:color w:val="000000"/>
                <w:kern w:val="0"/>
                <w:sz w:val="24"/>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仿宋_GB2312" w:hAnsi="等线" w:eastAsia="仿宋_GB2312" w:cs="仿宋_GB2312"/>
                <w:color w:val="000000"/>
                <w:sz w:val="24"/>
                <w:lang w:val="en-US" w:eastAsia="zh-CN"/>
              </w:rPr>
            </w:pPr>
            <w:r>
              <w:rPr>
                <w:rFonts w:hint="eastAsia" w:ascii="仿宋_GB2312" w:hAnsi="等线" w:cs="仿宋_GB2312"/>
                <w:color w:val="000000"/>
                <w:kern w:val="0"/>
                <w:sz w:val="24"/>
                <w:lang w:val="en-US" w:eastAsia="zh-CN" w:bidi="ar"/>
              </w:rPr>
              <w:t>水利局</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eastAsia="仿宋_GB2312" w:cs="仿宋_GB2312"/>
                <w:color w:val="000000"/>
                <w:sz w:val="24"/>
              </w:rPr>
            </w:pPr>
            <w:r>
              <w:rPr>
                <w:rFonts w:hint="eastAsia" w:ascii="仿宋_GB2312" w:hAnsi="等线" w:cs="仿宋_GB2312"/>
                <w:color w:val="000000"/>
                <w:kern w:val="0"/>
                <w:sz w:val="24"/>
                <w:lang w:val="en-US" w:eastAsia="zh-CN" w:bidi="ar"/>
              </w:rPr>
              <w:t>对水利招标投标领域项目的监管</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eastAsia="仿宋_GB2312" w:cs="仿宋_GB2312"/>
                <w:color w:val="000000"/>
                <w:sz w:val="24"/>
                <w:lang w:eastAsia="zh-CN"/>
              </w:rPr>
            </w:pPr>
            <w:r>
              <w:rPr>
                <w:rFonts w:hint="eastAsia" w:ascii="仿宋_GB2312" w:hAnsi="等线" w:cs="仿宋_GB2312"/>
                <w:color w:val="000000"/>
                <w:kern w:val="0"/>
                <w:sz w:val="24"/>
                <w:lang w:val="en-US" w:eastAsia="zh-CN" w:bidi="ar"/>
              </w:rPr>
              <w:t>水利招标项目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eastAsia="仿宋_GB2312"/>
                <w:lang w:val="en-US" w:eastAsia="zh-CN"/>
              </w:rPr>
            </w:pPr>
            <w:r>
              <w:rPr>
                <w:rFonts w:hint="eastAsia" w:ascii="仿宋_GB2312" w:hAnsi="仿宋_GB2312" w:eastAsia="仿宋_GB2312" w:cs="仿宋_GB2312"/>
                <w:sz w:val="24"/>
                <w:szCs w:val="24"/>
              </w:rPr>
              <w:t>招标投标活动行为主体</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招标代理机构的代理行为是否符合法律、法规和有关管理规定</w:t>
            </w:r>
            <w:r>
              <w:rPr>
                <w:rFonts w:hint="eastAsia" w:ascii="仿宋_GB2312" w:hAnsi="仿宋_GB2312" w:cs="仿宋_GB2312"/>
                <w:sz w:val="24"/>
                <w:szCs w:val="24"/>
                <w:lang w:eastAsia="zh-CN"/>
              </w:rPr>
              <w:t>，</w:t>
            </w:r>
            <w:r>
              <w:rPr>
                <w:rFonts w:hint="eastAsia" w:ascii="仿宋_GB2312" w:hAnsi="仿宋_GB2312" w:eastAsia="仿宋_GB2312" w:cs="仿宋_GB2312"/>
                <w:caps w:val="0"/>
                <w:color w:val="auto"/>
                <w:spacing w:val="0"/>
                <w:sz w:val="24"/>
                <w:szCs w:val="24"/>
              </w:rPr>
              <w:t>中标人是否按规定签订合同</w:t>
            </w:r>
            <w:r>
              <w:rPr>
                <w:rFonts w:hint="eastAsia" w:ascii="仿宋_GB2312" w:hAnsi="仿宋_GB2312" w:cs="仿宋_GB2312"/>
                <w:caps w:val="0"/>
                <w:color w:val="auto"/>
                <w:spacing w:val="0"/>
                <w:sz w:val="24"/>
                <w:szCs w:val="24"/>
                <w:lang w:eastAsia="zh-CN"/>
              </w:rPr>
              <w:t>、</w:t>
            </w:r>
            <w:r>
              <w:rPr>
                <w:rFonts w:hint="eastAsia" w:ascii="仿宋_GB2312" w:hAnsi="仿宋_GB2312" w:cs="仿宋_GB2312"/>
                <w:caps w:val="0"/>
                <w:color w:val="auto"/>
                <w:spacing w:val="0"/>
                <w:sz w:val="24"/>
                <w:szCs w:val="24"/>
                <w:lang w:val="en-US" w:eastAsia="zh-CN"/>
              </w:rPr>
              <w:t>项目履约情况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eastAsia="仿宋_GB2312" w:cs="仿宋_GB2312"/>
                <w:color w:val="000000"/>
                <w:sz w:val="24"/>
              </w:rPr>
            </w:pPr>
            <w:r>
              <w:rPr>
                <w:rFonts w:ascii="仿宋_GB2312" w:hAnsi="等线" w:eastAsia="仿宋_GB2312" w:cs="仿宋_GB2312"/>
                <w:color w:val="000000"/>
                <w:kern w:val="0"/>
                <w:sz w:val="24"/>
                <w:lang w:bidi="ar"/>
              </w:rPr>
              <w:t>一般检查事项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eastAsia="仿宋_GB2312" w:cs="仿宋_GB2312"/>
                <w:color w:val="000000"/>
                <w:sz w:val="24"/>
              </w:rPr>
            </w:pPr>
            <w:r>
              <w:rPr>
                <w:rFonts w:ascii="仿宋_GB2312" w:hAnsi="等线" w:eastAsia="仿宋_GB2312" w:cs="仿宋_GB2312"/>
                <w:color w:val="000000"/>
                <w:kern w:val="0"/>
                <w:sz w:val="24"/>
                <w:lang w:bidi="ar"/>
              </w:rPr>
              <w:t>现场检查、书面检查、</w:t>
            </w:r>
            <w:r>
              <w:rPr>
                <w:rFonts w:hint="eastAsia" w:ascii="仿宋_GB2312" w:hAnsi="等线" w:cs="仿宋_GB2312"/>
                <w:color w:val="000000"/>
                <w:kern w:val="0"/>
                <w:sz w:val="24"/>
                <w:lang w:val="en-US" w:eastAsia="zh-CN" w:bidi="ar"/>
              </w:rPr>
              <w:t>在线</w:t>
            </w:r>
            <w:r>
              <w:rPr>
                <w:rFonts w:ascii="仿宋_GB2312" w:hAnsi="等线" w:eastAsia="仿宋_GB2312" w:cs="仿宋_GB2312"/>
                <w:color w:val="000000"/>
                <w:kern w:val="0"/>
                <w:sz w:val="24"/>
                <w:lang w:bidi="ar"/>
              </w:rPr>
              <w:t>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eastAsia="仿宋_GB2312" w:cs="仿宋_GB2312"/>
                <w:color w:val="000000"/>
                <w:sz w:val="24"/>
              </w:rPr>
            </w:pPr>
            <w:r>
              <w:rPr>
                <w:rFonts w:hint="eastAsia" w:ascii="仿宋_GB2312" w:hAnsi="等线" w:cs="仿宋_GB2312"/>
                <w:color w:val="000000"/>
                <w:kern w:val="0"/>
                <w:sz w:val="24"/>
                <w:lang w:eastAsia="zh-CN" w:bidi="ar"/>
              </w:rPr>
              <w:t>水利</w:t>
            </w:r>
            <w:r>
              <w:rPr>
                <w:rFonts w:ascii="仿宋_GB2312" w:hAnsi="等线" w:eastAsia="仿宋_GB2312" w:cs="仿宋_GB2312"/>
                <w:color w:val="000000"/>
                <w:kern w:val="0"/>
                <w:sz w:val="24"/>
                <w:lang w:bidi="ar"/>
              </w:rPr>
              <w:t>部门</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eastAsia="仿宋_GB2312" w:cs="仿宋_GB2312"/>
                <w:color w:val="000000"/>
                <w:sz w:val="24"/>
                <w:lang w:val="en-US" w:eastAsia="zh-CN"/>
              </w:rPr>
            </w:pPr>
            <w:r>
              <w:rPr>
                <w:rFonts w:ascii="仿宋_GB2312" w:hAnsi="等线" w:eastAsia="仿宋_GB2312" w:cs="仿宋_GB2312"/>
                <w:color w:val="000000"/>
                <w:kern w:val="0"/>
                <w:sz w:val="24"/>
                <w:lang w:bidi="ar"/>
              </w:rPr>
              <w:t>《中华人民共和国招标投标法》</w:t>
            </w:r>
            <w:r>
              <w:rPr>
                <w:rFonts w:hint="eastAsia" w:ascii="仿宋_GB2312" w:hAnsi="等线" w:eastAsia="仿宋_GB2312" w:cs="仿宋_GB2312"/>
                <w:color w:val="000000"/>
                <w:kern w:val="0"/>
                <w:sz w:val="24"/>
                <w:lang w:bidi="ar"/>
              </w:rPr>
              <w:t>《中华人民共和国招标投标法实施条例》</w:t>
            </w:r>
            <w:r>
              <w:rPr>
                <w:rFonts w:ascii="仿宋_GB2312" w:hAnsi="等线" w:eastAsia="仿宋_GB2312" w:cs="仿宋_GB2312"/>
                <w:color w:val="000000"/>
                <w:kern w:val="0"/>
                <w:sz w:val="24"/>
                <w:lang w:bidi="ar"/>
              </w:rPr>
              <w:t>《国家发展改革委等部门关于严格执行招标投标法规制度进一步规范招标投标主体行为的若干意见》（发改法规规〔2022〕1117号</w:t>
            </w:r>
            <w:r>
              <w:rPr>
                <w:rFonts w:hint="eastAsia" w:ascii="仿宋_GB2312" w:hAnsi="等线" w:cs="仿宋_GB2312"/>
                <w:color w:val="000000"/>
                <w:kern w:val="0"/>
                <w:sz w:val="24"/>
                <w:lang w:val="en-US" w:eastAsia="zh-CN" w:bidi="ar"/>
              </w:rPr>
              <w:t>)</w:t>
            </w:r>
          </w:p>
        </w:tc>
      </w:tr>
      <w:tr>
        <w:tblPrEx>
          <w:tblCellMar>
            <w:top w:w="0" w:type="dxa"/>
            <w:left w:w="0" w:type="dxa"/>
            <w:bottom w:w="0" w:type="dxa"/>
            <w:right w:w="0" w:type="dxa"/>
          </w:tblCellMar>
        </w:tblPrEx>
        <w:trPr>
          <w:trHeight w:val="2257"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仿宋_GB2312" w:hAnsi="等线" w:eastAsia="仿宋_GB2312" w:cs="仿宋_GB2312"/>
                <w:color w:val="000000"/>
                <w:kern w:val="0"/>
                <w:sz w:val="24"/>
                <w:lang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cs="仿宋_GB2312"/>
                <w:color w:val="000000"/>
                <w:kern w:val="0"/>
                <w:sz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cs="仿宋_GB2312"/>
                <w:color w:val="000000"/>
                <w:kern w:val="0"/>
                <w:sz w:val="24"/>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cs="仿宋_GB2312"/>
                <w:color w:val="000000"/>
                <w:kern w:val="0"/>
                <w:sz w:val="24"/>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wordWrap/>
              <w:topLinePunct w:val="0"/>
              <w:autoSpaceDE/>
              <w:autoSpaceDN/>
              <w:bidi w:val="0"/>
              <w:adjustRightInd/>
              <w:snapToGrid/>
              <w:spacing w:line="240" w:lineRule="exact"/>
              <w:ind w:leftChars="0"/>
              <w:rPr>
                <w:rFonts w:hint="eastAsia" w:ascii="仿宋_GB2312" w:hAnsi="仿宋_GB2312" w:eastAsia="仿宋_GB2312" w:cs="仿宋_GB2312"/>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ascii="仿宋_GB2312" w:hAnsi="等线" w:eastAsia="仿宋_GB2312" w:cs="仿宋_GB2312"/>
                <w:color w:val="000000"/>
                <w:kern w:val="0"/>
                <w:sz w:val="24"/>
                <w:lang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ascii="仿宋_GB2312" w:hAnsi="等线" w:eastAsia="仿宋_GB2312" w:cs="仿宋_GB2312"/>
                <w:color w:val="000000"/>
                <w:kern w:val="0"/>
                <w:sz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等线" w:cs="仿宋_GB2312"/>
                <w:color w:val="000000"/>
                <w:kern w:val="0"/>
                <w:sz w:val="24"/>
                <w:lang w:val="en-US" w:eastAsia="zh-CN" w:bidi="ar"/>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ascii="仿宋_GB2312" w:hAnsi="等线" w:eastAsia="仿宋_GB2312" w:cs="仿宋_GB2312"/>
                <w:color w:val="000000"/>
                <w:kern w:val="0"/>
                <w:sz w:val="24"/>
                <w:lang w:bidi="ar"/>
              </w:rPr>
            </w:pPr>
          </w:p>
        </w:tc>
      </w:tr>
    </w:tbl>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登封市水利局招标投标领域</w:t>
      </w:r>
      <w:r>
        <w:rPr>
          <w:rFonts w:hint="eastAsia" w:ascii="方正小标宋简体" w:hAnsi="方正小标宋简体" w:eastAsia="方正小标宋简体" w:cs="方正小标宋简体"/>
          <w:sz w:val="44"/>
          <w:szCs w:val="44"/>
        </w:rPr>
        <w:t>随机抽查事项清单</w:t>
      </w:r>
    </w:p>
    <w:p>
      <w:pPr>
        <w:rPr>
          <w:rFonts w:hint="eastAsia"/>
          <w:lang w:val="en-US" w:eastAsia="zh-CN"/>
        </w:rPr>
      </w:pPr>
      <w:r>
        <w:rPr>
          <w:rFonts w:hint="eastAsia"/>
          <w:lang w:val="en-US" w:eastAsia="zh-CN"/>
        </w:rPr>
        <w:br w:type="page"/>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登封市水利局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招标投标领域</w:t>
      </w:r>
      <w:r>
        <w:rPr>
          <w:rFonts w:hint="eastAsia" w:ascii="方正小标宋简体" w:hAnsi="方正小标宋简体" w:eastAsia="方正小标宋简体" w:cs="方正小标宋简体"/>
          <w:sz w:val="44"/>
          <w:szCs w:val="44"/>
        </w:rPr>
        <w:t>“双随机、一公开”抽查计划</w:t>
      </w:r>
    </w:p>
    <w:p>
      <w:pPr>
        <w:ind w:left="0" w:leftChars="0" w:firstLine="0" w:firstLineChars="0"/>
        <w:rPr>
          <w:rFonts w:ascii="黑体" w:hAnsi="黑体" w:eastAsia="黑体" w:cs="黑体"/>
          <w:sz w:val="32"/>
          <w:szCs w:val="32"/>
        </w:rPr>
      </w:pPr>
    </w:p>
    <w:tbl>
      <w:tblPr>
        <w:tblStyle w:val="14"/>
        <w:tblW w:w="13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558"/>
        <w:gridCol w:w="1559"/>
        <w:gridCol w:w="2247"/>
        <w:gridCol w:w="1073"/>
        <w:gridCol w:w="1179"/>
        <w:gridCol w:w="1011"/>
        <w:gridCol w:w="1121"/>
        <w:gridCol w:w="1100"/>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72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序号</w:t>
            </w:r>
          </w:p>
        </w:tc>
        <w:tc>
          <w:tcPr>
            <w:tcW w:w="1558" w:type="dxa"/>
            <w:tcBorders>
              <w:tl2br w:val="nil"/>
              <w:tr2bl w:val="nil"/>
            </w:tcBorders>
            <w:noWrap/>
            <w:tcMar>
              <w:top w:w="15" w:type="dxa"/>
              <w:left w:w="15" w:type="dxa"/>
              <w:right w:w="15" w:type="dxa"/>
            </w:tcMar>
            <w:vAlign w:val="center"/>
          </w:tcPr>
          <w:p>
            <w:pPr>
              <w:keepNext w:val="0"/>
              <w:keepLines w:val="0"/>
              <w:pageBreakBefore w:val="0"/>
              <w:widowControl/>
              <w:tabs>
                <w:tab w:val="left" w:pos="992"/>
              </w:tabs>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抽查事项</w:t>
            </w:r>
          </w:p>
        </w:tc>
        <w:tc>
          <w:tcPr>
            <w:tcW w:w="1559"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事项类别</w:t>
            </w:r>
          </w:p>
        </w:tc>
        <w:tc>
          <w:tcPr>
            <w:tcW w:w="224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抽查任务名称</w:t>
            </w:r>
          </w:p>
        </w:tc>
        <w:tc>
          <w:tcPr>
            <w:tcW w:w="1073"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val="en-US" w:eastAsia="zh-CN"/>
              </w:rPr>
              <w:t>抽</w:t>
            </w:r>
            <w:r>
              <w:rPr>
                <w:rFonts w:hint="eastAsia" w:ascii="黑体" w:hAnsi="黑体" w:eastAsia="黑体" w:cs="黑体"/>
                <w:b w:val="0"/>
                <w:bCs w:val="0"/>
                <w:color w:val="000000"/>
                <w:kern w:val="0"/>
                <w:sz w:val="24"/>
                <w:szCs w:val="24"/>
              </w:rPr>
              <w:t>查方式</w:t>
            </w:r>
          </w:p>
        </w:tc>
        <w:tc>
          <w:tcPr>
            <w:tcW w:w="1179"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检查对象</w:t>
            </w:r>
          </w:p>
        </w:tc>
        <w:tc>
          <w:tcPr>
            <w:tcW w:w="101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检查方式</w:t>
            </w:r>
          </w:p>
        </w:tc>
        <w:tc>
          <w:tcPr>
            <w:tcW w:w="112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抽查比例</w:t>
            </w:r>
          </w:p>
        </w:tc>
        <w:tc>
          <w:tcPr>
            <w:tcW w:w="1100"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抽查时间</w:t>
            </w:r>
          </w:p>
        </w:tc>
        <w:tc>
          <w:tcPr>
            <w:tcW w:w="164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themeColor="text1"/>
                <w:kern w:val="0"/>
                <w:sz w:val="24"/>
                <w:szCs w:val="24"/>
                <w14:textFill>
                  <w14:solidFill>
                    <w14:schemeClr w14:val="tx1"/>
                  </w14:solidFill>
                </w14:textFill>
              </w:rPr>
              <w:t>责任科室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jc w:val="center"/>
        </w:trPr>
        <w:tc>
          <w:tcPr>
            <w:tcW w:w="72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cs="仿宋_GB2312"/>
                <w:b w:val="0"/>
                <w:bCs w:val="0"/>
                <w:color w:val="000000"/>
                <w:kern w:val="0"/>
                <w:sz w:val="24"/>
                <w:szCs w:val="24"/>
                <w:lang w:val="en-US" w:eastAsia="zh-CN"/>
              </w:rPr>
              <w:t>1</w:t>
            </w:r>
          </w:p>
        </w:tc>
        <w:tc>
          <w:tcPr>
            <w:tcW w:w="1558"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color w:val="000000"/>
                <w:kern w:val="0"/>
                <w:sz w:val="24"/>
                <w:lang w:val="en-US" w:eastAsia="zh-CN" w:bidi="ar"/>
              </w:rPr>
              <w:t>对招标投标领域项目的监管</w:t>
            </w:r>
          </w:p>
        </w:tc>
        <w:tc>
          <w:tcPr>
            <w:tcW w:w="1559"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color w:val="000000"/>
                <w:kern w:val="0"/>
                <w:sz w:val="24"/>
                <w:lang w:bidi="ar"/>
              </w:rPr>
              <w:t>一般检查事项</w:t>
            </w:r>
          </w:p>
        </w:tc>
        <w:tc>
          <w:tcPr>
            <w:tcW w:w="224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sz w:val="24"/>
                <w:szCs w:val="24"/>
                <w:lang w:val="en-US"/>
              </w:rPr>
            </w:pPr>
            <w:r>
              <w:rPr>
                <w:rFonts w:hint="eastAsia" w:ascii="仿宋_GB2312" w:hAnsi="仿宋_GB2312" w:eastAsia="仿宋_GB2312" w:cs="仿宋_GB2312"/>
                <w:color w:val="000000"/>
                <w:kern w:val="0"/>
                <w:sz w:val="24"/>
                <w:lang w:val="en-US" w:eastAsia="zh-CN" w:bidi="ar"/>
              </w:rPr>
              <w:t>招标投标项目抽查检查</w:t>
            </w:r>
          </w:p>
        </w:tc>
        <w:tc>
          <w:tcPr>
            <w:tcW w:w="1073"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color w:val="000000"/>
                <w:kern w:val="0"/>
                <w:sz w:val="24"/>
                <w:lang w:val="en-US" w:eastAsia="zh-CN" w:bidi="ar"/>
              </w:rPr>
              <w:t>随机抽查</w:t>
            </w:r>
          </w:p>
        </w:tc>
        <w:tc>
          <w:tcPr>
            <w:tcW w:w="1179"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cs="仿宋_GB2312"/>
                <w:color w:val="000000"/>
                <w:kern w:val="0"/>
                <w:sz w:val="24"/>
                <w:lang w:val="en-US" w:eastAsia="zh-CN" w:bidi="ar"/>
              </w:rPr>
              <w:t>水利</w:t>
            </w:r>
            <w:r>
              <w:rPr>
                <w:rFonts w:hint="eastAsia" w:ascii="仿宋_GB2312" w:hAnsi="仿宋_GB2312" w:eastAsia="仿宋_GB2312" w:cs="仿宋_GB2312"/>
                <w:color w:val="000000"/>
                <w:kern w:val="0"/>
                <w:sz w:val="24"/>
                <w:lang w:val="en-US" w:eastAsia="zh-CN" w:bidi="ar"/>
              </w:rPr>
              <w:t>招标项目</w:t>
            </w:r>
          </w:p>
        </w:tc>
        <w:tc>
          <w:tcPr>
            <w:tcW w:w="101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color w:val="000000"/>
                <w:kern w:val="0"/>
                <w:sz w:val="24"/>
                <w:lang w:bidi="ar"/>
              </w:rPr>
              <w:t>现场检查、书面检查、</w:t>
            </w:r>
            <w:r>
              <w:rPr>
                <w:rFonts w:hint="eastAsia" w:ascii="仿宋_GB2312" w:hAnsi="仿宋_GB2312" w:cs="仿宋_GB2312"/>
                <w:color w:val="000000"/>
                <w:kern w:val="0"/>
                <w:sz w:val="24"/>
                <w:lang w:val="en-US" w:eastAsia="zh-CN" w:bidi="ar"/>
              </w:rPr>
              <w:t>在线</w:t>
            </w:r>
            <w:r>
              <w:rPr>
                <w:rFonts w:hint="eastAsia" w:ascii="仿宋_GB2312" w:hAnsi="仿宋_GB2312" w:eastAsia="仿宋_GB2312" w:cs="仿宋_GB2312"/>
                <w:color w:val="000000"/>
                <w:kern w:val="0"/>
                <w:sz w:val="24"/>
                <w:lang w:bidi="ar"/>
              </w:rPr>
              <w:t>检查</w:t>
            </w:r>
          </w:p>
        </w:tc>
        <w:tc>
          <w:tcPr>
            <w:tcW w:w="112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5%</w:t>
            </w:r>
          </w:p>
        </w:tc>
        <w:tc>
          <w:tcPr>
            <w:tcW w:w="1100"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一年两次</w:t>
            </w:r>
            <w:bookmarkStart w:id="0" w:name="_GoBack"/>
            <w:bookmarkEnd w:id="0"/>
          </w:p>
        </w:tc>
        <w:tc>
          <w:tcPr>
            <w:tcW w:w="164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pPr>
            <w:r>
              <w:rPr>
                <w:rFonts w:hint="eastAsia" w:ascii="仿宋_GB2312" w:hAnsi="仿宋_GB2312" w:cs="仿宋_GB2312"/>
                <w:b w:val="0"/>
                <w:bCs w:val="0"/>
                <w:color w:val="000000" w:themeColor="text1"/>
                <w:kern w:val="0"/>
                <w:sz w:val="24"/>
                <w:szCs w:val="24"/>
                <w:lang w:val="en-US" w:eastAsia="zh-CN"/>
                <w14:textFill>
                  <w14:solidFill>
                    <w14:schemeClr w14:val="tx1"/>
                  </w14:solidFill>
                </w14:textFill>
              </w:rPr>
              <w:t>建管科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jc w:val="center"/>
        </w:trPr>
        <w:tc>
          <w:tcPr>
            <w:tcW w:w="72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kern w:val="0"/>
                <w:sz w:val="24"/>
                <w:szCs w:val="24"/>
                <w:lang w:val="en-US" w:eastAsia="zh-CN"/>
              </w:rPr>
            </w:pPr>
          </w:p>
        </w:tc>
        <w:tc>
          <w:tcPr>
            <w:tcW w:w="1558"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4"/>
                <w:lang w:val="en-US" w:eastAsia="zh-CN" w:bidi="ar"/>
              </w:rPr>
            </w:pPr>
          </w:p>
        </w:tc>
        <w:tc>
          <w:tcPr>
            <w:tcW w:w="1559"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4"/>
                <w:lang w:bidi="ar"/>
              </w:rPr>
            </w:pPr>
          </w:p>
        </w:tc>
        <w:tc>
          <w:tcPr>
            <w:tcW w:w="224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4"/>
                <w:lang w:val="en-US" w:eastAsia="zh-CN" w:bidi="ar"/>
              </w:rPr>
            </w:pPr>
          </w:p>
        </w:tc>
        <w:tc>
          <w:tcPr>
            <w:tcW w:w="1073"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4"/>
                <w:lang w:val="en-US" w:eastAsia="zh-CN" w:bidi="ar"/>
              </w:rPr>
            </w:pPr>
          </w:p>
        </w:tc>
        <w:tc>
          <w:tcPr>
            <w:tcW w:w="1179"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4"/>
                <w:lang w:val="en-US" w:eastAsia="zh-CN" w:bidi="ar"/>
              </w:rPr>
            </w:pPr>
          </w:p>
        </w:tc>
        <w:tc>
          <w:tcPr>
            <w:tcW w:w="101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4"/>
                <w:lang w:bidi="ar"/>
              </w:rPr>
            </w:pPr>
          </w:p>
        </w:tc>
        <w:tc>
          <w:tcPr>
            <w:tcW w:w="112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cs="仿宋_GB2312"/>
                <w:b w:val="0"/>
                <w:bCs w:val="0"/>
                <w:color w:val="000000"/>
                <w:sz w:val="24"/>
                <w:szCs w:val="24"/>
                <w:lang w:val="en-US" w:eastAsia="zh-CN"/>
              </w:rPr>
            </w:pPr>
          </w:p>
        </w:tc>
        <w:tc>
          <w:tcPr>
            <w:tcW w:w="1100"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cs="仿宋_GB2312"/>
                <w:b w:val="0"/>
                <w:bCs w:val="0"/>
                <w:color w:val="000000"/>
                <w:sz w:val="24"/>
                <w:szCs w:val="24"/>
                <w:lang w:val="en-US" w:eastAsia="zh-CN"/>
              </w:rPr>
            </w:pPr>
          </w:p>
        </w:tc>
        <w:tc>
          <w:tcPr>
            <w:tcW w:w="164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pPr>
          </w:p>
        </w:tc>
      </w:tr>
    </w:tbl>
    <w:p>
      <w:pPr>
        <w:bidi w:val="0"/>
        <w:ind w:left="0" w:leftChars="0" w:firstLine="0" w:firstLineChars="0"/>
        <w:jc w:val="left"/>
        <w:rPr>
          <w:rFonts w:hint="eastAsia" w:ascii="Times New Roman" w:hAnsi="Times New Roman" w:eastAsia="仿宋_GB2312" w:cstheme="minorBidi"/>
          <w:kern w:val="2"/>
          <w:sz w:val="32"/>
          <w:lang w:val="en-US" w:eastAsia="zh-CN"/>
        </w:rPr>
      </w:pPr>
    </w:p>
    <w:sectPr>
      <w:footerReference r:id="rId5" w:type="default"/>
      <w:footerReference r:id="rId6" w:type="even"/>
      <w:pgSz w:w="16838" w:h="11906" w:orient="landscape"/>
      <w:pgMar w:top="1587" w:right="2098" w:bottom="1474" w:left="1984" w:header="851" w:footer="992" w:gutter="0"/>
      <w:pgNumType w:fmt="decimal"/>
      <w:cols w:space="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16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6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5.8pt;mso-position-horizontal:outside;mso-position-horizontal-relative:margin;z-index:251659264;mso-width-relative:page;mso-height-relative:page;" filled="f" stroked="f" coordsize="21600,21600" o:gfxdata="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NaTjNQAAAAFAQAADwAAAAAAAAABACAAAAAiAAAAZHJzL2Rvd25yZXYueG1s&#10;UEsBAhQAFAAAAAgAh07iQJZM9i01AgAAYwQAAA4AAAAAAAAAAQAgAAAAIwEAAGRycy9lMm9Eb2Mu&#10;eG1sUEsFBgAAAAAGAAYAWQEAAMoFAAAAAA==&#10;">
              <v:fill on="f" focussize="0,0"/>
              <v:stroke on="f" weight="0.5pt"/>
              <v:imagedata o:title=""/>
              <o:lock v:ext="edit" aspectratio="f"/>
              <v:textbox inset="0mm,0mm,0mm,0mm" style="mso-fit-shape-to-text:t;">
                <w:txbxContent>
                  <w:p>
                    <w:pPr>
                      <w:pStyle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RmMzNjNzY0MmIzNjJhYWVjNDczZTRhOWE0OTMifQ=="/>
  </w:docVars>
  <w:rsids>
    <w:rsidRoot w:val="07E076CD"/>
    <w:rsid w:val="006E53BB"/>
    <w:rsid w:val="01790E33"/>
    <w:rsid w:val="0365116C"/>
    <w:rsid w:val="07E076CD"/>
    <w:rsid w:val="08731EE8"/>
    <w:rsid w:val="0B2D1DE1"/>
    <w:rsid w:val="0F3C28E5"/>
    <w:rsid w:val="0FDB635E"/>
    <w:rsid w:val="14F33E0C"/>
    <w:rsid w:val="15686993"/>
    <w:rsid w:val="17E02E20"/>
    <w:rsid w:val="18AF5648"/>
    <w:rsid w:val="1E125200"/>
    <w:rsid w:val="1E20036E"/>
    <w:rsid w:val="23231797"/>
    <w:rsid w:val="26BA52DD"/>
    <w:rsid w:val="2C006E94"/>
    <w:rsid w:val="2EDB3571"/>
    <w:rsid w:val="32AD6EDF"/>
    <w:rsid w:val="39197989"/>
    <w:rsid w:val="39FB7FBD"/>
    <w:rsid w:val="42247F31"/>
    <w:rsid w:val="45292C2C"/>
    <w:rsid w:val="46E57892"/>
    <w:rsid w:val="4CD16C12"/>
    <w:rsid w:val="504B18FF"/>
    <w:rsid w:val="53CA414D"/>
    <w:rsid w:val="56B063AF"/>
    <w:rsid w:val="578D201E"/>
    <w:rsid w:val="58F049B9"/>
    <w:rsid w:val="59813326"/>
    <w:rsid w:val="59E53F6D"/>
    <w:rsid w:val="5EB2467C"/>
    <w:rsid w:val="67257369"/>
    <w:rsid w:val="6B5B6DB1"/>
    <w:rsid w:val="6DFD3F3D"/>
    <w:rsid w:val="7395257F"/>
    <w:rsid w:val="74C808C9"/>
    <w:rsid w:val="793C1F2D"/>
    <w:rsid w:val="7E2F34AB"/>
    <w:rsid w:val="7E955209"/>
    <w:rsid w:val="7FD4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32" w:firstLineChars="200"/>
      <w:jc w:val="both"/>
    </w:pPr>
    <w:rPr>
      <w:rFonts w:ascii="Times New Roman" w:hAnsi="Times New Roman" w:eastAsia="仿宋_GB2312" w:cstheme="minorBidi"/>
      <w:kern w:val="2"/>
      <w:sz w:val="32"/>
      <w:lang w:val="en-US" w:eastAsia="zh-CN"/>
    </w:rPr>
  </w:style>
  <w:style w:type="paragraph" w:styleId="3">
    <w:name w:val="heading 1"/>
    <w:next w:val="1"/>
    <w:qFormat/>
    <w:uiPriority w:val="0"/>
    <w:pPr>
      <w:keepNext w:val="0"/>
      <w:keepLines w:val="0"/>
      <w:widowControl w:val="0"/>
      <w:kinsoku w:val="0"/>
      <w:overflowPunct w:val="0"/>
      <w:spacing w:beforeLines="0" w:beforeAutospacing="0" w:afterLines="0" w:afterAutospacing="0" w:line="580" w:lineRule="exact"/>
      <w:jc w:val="center"/>
      <w:outlineLvl w:val="0"/>
    </w:pPr>
    <w:rPr>
      <w:rFonts w:ascii="方正小标宋简体" w:hAnsi="方正小标宋简体" w:eastAsia="方正小标宋简体" w:cs="方正小标宋简体"/>
      <w:kern w:val="44"/>
      <w:sz w:val="44"/>
      <w:szCs w:val="44"/>
    </w:rPr>
  </w:style>
  <w:style w:type="paragraph" w:styleId="2">
    <w:name w:val="heading 2"/>
    <w:basedOn w:val="1"/>
    <w:next w:val="1"/>
    <w:unhideWhenUsed/>
    <w:qFormat/>
    <w:uiPriority w:val="0"/>
    <w:pPr>
      <w:keepNext w:val="0"/>
      <w:keepLines w:val="0"/>
      <w:kinsoku w:val="0"/>
      <w:overflowPunct w:val="0"/>
      <w:spacing w:beforeLines="0" w:beforeAutospacing="0" w:afterLines="0" w:afterAutospacing="0" w:line="580" w:lineRule="exact"/>
      <w:jc w:val="left"/>
      <w:outlineLvl w:val="1"/>
    </w:pPr>
    <w:rPr>
      <w:rFonts w:ascii="黑体" w:hAnsi="黑体" w:eastAsia="黑体" w:cs="黑体"/>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1"/>
    <w:rPr>
      <w:rFonts w:ascii="仿宋_GB2312" w:hAnsi="仿宋_GB2312" w:eastAsia="仿宋_GB2312" w:cs="仿宋_GB2312"/>
      <w:sz w:val="32"/>
      <w:szCs w:val="32"/>
      <w:lang w:val="zh-CN" w:eastAsia="zh-CN" w:bidi="zh-CN"/>
    </w:rPr>
  </w:style>
  <w:style w:type="paragraph" w:styleId="8">
    <w:name w:val="Body Text Indent"/>
    <w:basedOn w:val="1"/>
    <w:next w:val="1"/>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next w:val="13"/>
    <w:qFormat/>
    <w:uiPriority w:val="0"/>
    <w:pPr>
      <w:ind w:firstLine="420"/>
    </w:pPr>
    <w:rPr>
      <w:bCs/>
    </w:rPr>
  </w:style>
  <w:style w:type="paragraph" w:styleId="13">
    <w:name w:val="Body Text First Indent 2"/>
    <w:basedOn w:val="8"/>
    <w:next w:val="1"/>
    <w:unhideWhenUsed/>
    <w:qFormat/>
    <w:uiPriority w:val="0"/>
    <w:pPr>
      <w:ind w:firstLine="420" w:firstLineChars="200"/>
    </w:pPr>
    <w:rPr>
      <w:rFonts w:ascii="Calibri" w:hAnsi="Calibri"/>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大标题"/>
    <w:basedOn w:val="3"/>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387</Words>
  <Characters>401</Characters>
  <Lines>0</Lines>
  <Paragraphs>0</Paragraphs>
  <TotalTime>29</TotalTime>
  <ScaleCrop>false</ScaleCrop>
  <LinksUpToDate>false</LinksUpToDate>
  <CharactersWithSpaces>401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2022-07-07T01:23:00Z</dcterms:created>
  <dc:creator>乐乐</dc:creator>
  <cp:lastModifiedBy>桃之夭夭</cp:lastModifiedBy>
  <dcterms:modified xsi:type="dcterms:W3CDTF">2022-08-30T03:40:44Z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085F9560870942858A106E7BD1DCCCBA</vt:lpwstr>
  </property>
</Properties>
</file>