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登封市工业发展工作小组</w:t>
      </w:r>
      <w:r>
        <w:rPr>
          <w:rFonts w:hint="eastAsia" w:ascii="方正小标宋简体" w:eastAsia="方正小标宋简体"/>
          <w:sz w:val="44"/>
          <w:szCs w:val="44"/>
        </w:rPr>
        <w:t>办公室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关于排查整改涉企保证金问题的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通知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hAnsi="Verdana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</w:pPr>
      <w:r>
        <w:rPr>
          <w:rFonts w:ascii="仿宋_GB2312" w:hAnsi="Verdana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各</w:t>
      </w:r>
      <w:r>
        <w:rPr>
          <w:rFonts w:hint="eastAsia" w:ascii="仿宋_GB2312" w:hAnsi="Verdana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乡镇人民政府、区管委会，各街道办事处，</w:t>
      </w:r>
      <w:r>
        <w:rPr>
          <w:rFonts w:hint="eastAsia" w:ascii="仿宋_GB2312" w:hAnsi="Verdana" w:eastAsia="仿宋_GB2312" w:cs="仿宋_GB2312"/>
          <w:b w:val="0"/>
          <w:i w:val="0"/>
          <w:caps w:val="0"/>
          <w:color w:val="000000"/>
          <w:spacing w:val="0"/>
          <w:sz w:val="31"/>
          <w:szCs w:val="31"/>
          <w:lang w:eastAsia="zh-CN"/>
        </w:rPr>
        <w:t>登封新区，</w:t>
      </w:r>
      <w:r>
        <w:rPr>
          <w:rFonts w:hint="eastAsia" w:ascii="仿宋_GB2312" w:hAnsi="Verdana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市人民政府各部门，各有关单位：</w:t>
      </w:r>
    </w:p>
    <w:p>
      <w:pPr>
        <w:ind w:firstLine="62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月29日，国务院减轻企业负担部际联席会议印发《关于部分违规加重企业负担案件的通报》（工信部运行函〔2019]121号），上蔡县教体局违规收取质量和风险保证金行为被通报批评，对全省营商环境造成不良影响。</w:t>
      </w:r>
      <w:r>
        <w:rPr>
          <w:rFonts w:hint="eastAsia" w:ascii="仿宋_GB2312" w:eastAsia="仿宋_GB2312"/>
          <w:sz w:val="32"/>
          <w:szCs w:val="32"/>
          <w:lang w:eastAsia="zh-CN"/>
        </w:rPr>
        <w:t>按照省企业服务活动办公室《关于排查整改涉企保证金问题的函》和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郑州市减轻企业负担工作领导小组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办公室关于排查整改涉企保证金问题的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通知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》文件要求，为净化涉企保证金缴存环境，切实减轻企业缴存保证金负担</w:t>
      </w:r>
      <w:r>
        <w:rPr>
          <w:rFonts w:hint="eastAsia" w:ascii="仿宋_GB2312" w:eastAsia="仿宋_GB2312"/>
          <w:sz w:val="32"/>
          <w:szCs w:val="32"/>
        </w:rPr>
        <w:t>按照通报要求，请各</w:t>
      </w:r>
      <w:r>
        <w:rPr>
          <w:rFonts w:hint="eastAsia" w:ascii="仿宋_GB2312" w:eastAsia="仿宋_GB2312"/>
          <w:sz w:val="32"/>
          <w:szCs w:val="32"/>
          <w:lang w:eastAsia="zh-CN"/>
        </w:rPr>
        <w:t>乡镇区办</w:t>
      </w:r>
      <w:r>
        <w:rPr>
          <w:rFonts w:hint="eastAsia" w:ascii="仿宋_GB2312" w:eastAsia="仿宋_GB2312"/>
          <w:sz w:val="32"/>
          <w:szCs w:val="32"/>
        </w:rPr>
        <w:t>、各有关部门吸取教训、举一反三，立即对本</w:t>
      </w:r>
      <w:r>
        <w:rPr>
          <w:rFonts w:hint="eastAsia" w:ascii="仿宋_GB2312" w:eastAsia="仿宋_GB2312"/>
          <w:sz w:val="32"/>
          <w:szCs w:val="32"/>
          <w:lang w:eastAsia="zh-CN"/>
        </w:rPr>
        <w:t>辖区</w:t>
      </w:r>
      <w:r>
        <w:rPr>
          <w:rFonts w:hint="eastAsia" w:ascii="仿宋_GB2312" w:eastAsia="仿宋_GB2312"/>
          <w:sz w:val="32"/>
          <w:szCs w:val="32"/>
        </w:rPr>
        <w:t>、本系统涉企保证金相关问题进行排查整改，有关情况</w:t>
      </w:r>
      <w:r>
        <w:rPr>
          <w:rFonts w:hint="eastAsia" w:ascii="仿宋_GB2312" w:eastAsia="仿宋_GB2312"/>
          <w:sz w:val="32"/>
          <w:szCs w:val="32"/>
          <w:lang w:eastAsia="zh-CN"/>
        </w:rPr>
        <w:t>通知</w:t>
      </w:r>
      <w:r>
        <w:rPr>
          <w:rFonts w:hint="eastAsia" w:ascii="仿宋_GB2312" w:eastAsia="仿宋_GB2312"/>
          <w:sz w:val="32"/>
          <w:szCs w:val="32"/>
        </w:rPr>
        <w:t>如下：</w:t>
      </w:r>
    </w:p>
    <w:p>
      <w:pPr>
        <w:ind w:firstLine="62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一、排查渠道</w:t>
      </w:r>
    </w:p>
    <w:p>
      <w:pPr>
        <w:ind w:firstLine="62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保证金问题排查分线上、线下两种渠道，同时开展排查。按照分类管理、分级负责原则，</w:t>
      </w: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直部门负责排查整改本部门保证金问题，并指导本系统保证金整改工作；</w:t>
      </w:r>
      <w:r>
        <w:rPr>
          <w:rFonts w:ascii="仿宋_GB2312" w:hAnsi="Verdana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各</w:t>
      </w:r>
      <w:r>
        <w:rPr>
          <w:rFonts w:hint="eastAsia" w:ascii="仿宋_GB2312" w:hAnsi="Verdana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乡镇人民政府、区管委会，各街道办事处，</w:t>
      </w:r>
      <w:r>
        <w:rPr>
          <w:rFonts w:hint="eastAsia" w:ascii="仿宋_GB2312" w:eastAsia="仿宋_GB2312"/>
          <w:sz w:val="32"/>
          <w:szCs w:val="32"/>
        </w:rPr>
        <w:t>负责排查整改本</w:t>
      </w:r>
      <w:r>
        <w:rPr>
          <w:rFonts w:hint="eastAsia" w:ascii="仿宋_GB2312" w:eastAsia="仿宋_GB2312"/>
          <w:sz w:val="32"/>
          <w:szCs w:val="32"/>
          <w:lang w:eastAsia="zh-CN"/>
        </w:rPr>
        <w:t>辖区</w:t>
      </w:r>
      <w:r>
        <w:rPr>
          <w:rFonts w:hint="eastAsia" w:ascii="仿宋_GB2312" w:eastAsia="仿宋_GB2312"/>
          <w:sz w:val="32"/>
          <w:szCs w:val="32"/>
        </w:rPr>
        <w:t>内保证金问题。</w:t>
      </w:r>
    </w:p>
    <w:p>
      <w:pPr>
        <w:ind w:firstLine="62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（一）线上排查。</w:t>
      </w:r>
      <w:r>
        <w:rPr>
          <w:rFonts w:hint="eastAsia" w:ascii="仿宋_GB2312" w:eastAsia="仿宋_GB2312"/>
          <w:sz w:val="32"/>
          <w:szCs w:val="32"/>
        </w:rPr>
        <w:t>依托全省涉企保证金在线监管系统(网址</w:t>
      </w:r>
      <w:r>
        <w:rPr>
          <w:rFonts w:hint="eastAsia" w:eastAsia="仿宋_GB2312"/>
          <w:sz w:val="32"/>
          <w:szCs w:val="32"/>
          <w:lang w:val="en-US" w:eastAsia="zh-CN"/>
        </w:rPr>
        <w:t>http://</w:t>
      </w:r>
      <w:r>
        <w:rPr>
          <w:rFonts w:eastAsia="仿宋_GB2312"/>
          <w:sz w:val="32"/>
          <w:szCs w:val="32"/>
        </w:rPr>
        <w:t>222.143.26.88:9291</w:t>
      </w:r>
      <w:r>
        <w:rPr>
          <w:rFonts w:hint="eastAsia" w:ascii="仿宋_GB2312" w:eastAsia="仿宋_GB2312"/>
          <w:sz w:val="32"/>
          <w:szCs w:val="32"/>
        </w:rPr>
        <w:t>)，依据</w:t>
      </w: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政府部门涉企保证金目录清单（工资保证金</w:t>
      </w:r>
      <w:r>
        <w:rPr>
          <w:rFonts w:hint="eastAsia" w:ascii="仿宋_GB2312" w:eastAsia="仿宋_GB2312"/>
          <w:sz w:val="32"/>
          <w:szCs w:val="32"/>
          <w:lang w:eastAsia="zh-CN"/>
        </w:rPr>
        <w:t>、工程质量保证金、投标保证金、政府采购招标保证金、履约保证金、政府采购履约保证金、对外劳务合作风险处置备用金、旅游服务质量保证金</w:t>
      </w:r>
      <w:r>
        <w:rPr>
          <w:rFonts w:hint="eastAsia" w:ascii="仿宋_GB2312" w:eastAsia="仿宋_GB2312"/>
          <w:sz w:val="32"/>
          <w:szCs w:val="32"/>
        </w:rPr>
        <w:t>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项），对在线监管系统显示的</w:t>
      </w:r>
      <w:r>
        <w:rPr>
          <w:rFonts w:hint="eastAsia" w:ascii="仿宋_GB2312" w:eastAsia="仿宋_GB2312"/>
          <w:sz w:val="32"/>
          <w:szCs w:val="32"/>
          <w:lang w:eastAsia="zh-CN"/>
        </w:rPr>
        <w:t>涉及的</w:t>
      </w:r>
      <w:r>
        <w:rPr>
          <w:rFonts w:hint="eastAsia" w:ascii="仿宋_GB2312" w:eastAsia="仿宋_GB2312"/>
          <w:sz w:val="32"/>
          <w:szCs w:val="32"/>
        </w:rPr>
        <w:t>保证金项目进行逐笔排查。</w:t>
      </w:r>
    </w:p>
    <w:p>
      <w:pPr>
        <w:ind w:firstLine="62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（二）线下排查。依托企业举报、工作调研、审计监督、外部门来函等发现的线索，对涉事保证金项目进行重点调查，对涉事部门及所属系统同类保证金项目进行系统排查。</w:t>
      </w:r>
    </w:p>
    <w:p>
      <w:pPr>
        <w:ind w:firstLine="62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二、排查重点</w:t>
      </w:r>
    </w:p>
    <w:p>
      <w:pPr>
        <w:ind w:firstLine="62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重点排查可能存在于</w:t>
      </w:r>
      <w:r>
        <w:rPr>
          <w:rFonts w:hint="eastAsia" w:ascii="仿宋_GB2312" w:eastAsia="仿宋_GB2312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sz w:val="32"/>
          <w:szCs w:val="32"/>
        </w:rPr>
        <w:t>政府部门涉企保证金目录清单之外以及逾期未返还的保证金项目，兼顾其它违规保证金项目</w:t>
      </w:r>
    </w:p>
    <w:p>
      <w:pPr>
        <w:ind w:firstLine="62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（一）违规设立保证金名目。</w:t>
      </w:r>
      <w:r>
        <w:rPr>
          <w:rFonts w:hint="eastAsia" w:ascii="仿宋_GB2312" w:eastAsia="仿宋_GB2312"/>
          <w:sz w:val="32"/>
          <w:szCs w:val="32"/>
        </w:rPr>
        <w:t>超出</w:t>
      </w:r>
      <w:r>
        <w:rPr>
          <w:rFonts w:hint="eastAsia" w:ascii="仿宋_GB2312" w:eastAsia="仿宋_GB2312"/>
          <w:sz w:val="32"/>
          <w:szCs w:val="32"/>
          <w:lang w:eastAsia="zh-CN"/>
        </w:rPr>
        <w:t>国务院</w:t>
      </w:r>
      <w:r>
        <w:rPr>
          <w:rFonts w:hint="eastAsia" w:ascii="仿宋_GB2312" w:eastAsia="仿宋_GB2312"/>
          <w:sz w:val="32"/>
          <w:szCs w:val="32"/>
        </w:rPr>
        <w:t>涉企保证金目录清单</w:t>
      </w:r>
      <w:r>
        <w:rPr>
          <w:rFonts w:hint="eastAsia" w:ascii="仿宋_GB2312" w:eastAsia="仿宋_GB2312"/>
          <w:sz w:val="32"/>
          <w:szCs w:val="32"/>
          <w:lang w:eastAsia="zh-CN"/>
        </w:rPr>
        <w:t>（共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23项，见附件）</w:t>
      </w:r>
      <w:r>
        <w:rPr>
          <w:rFonts w:hint="eastAsia" w:ascii="仿宋_GB2312" w:eastAsia="仿宋_GB2312"/>
          <w:sz w:val="32"/>
          <w:szCs w:val="32"/>
        </w:rPr>
        <w:t>之外的保证金项目原则上均属违规，如国务院减轻企业负担部际联席会议通报的“风险保证佥”。</w:t>
      </w:r>
    </w:p>
    <w:p>
      <w:pPr>
        <w:ind w:firstLine="62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（二）逾期未返还保证金。</w:t>
      </w:r>
      <w:r>
        <w:rPr>
          <w:rFonts w:hint="eastAsia" w:ascii="仿宋_GB2312" w:eastAsia="仿宋_GB2312"/>
          <w:sz w:val="32"/>
          <w:szCs w:val="32"/>
        </w:rPr>
        <w:t>以保证金名义挂账资金或账外现款保证金，重点排查是否达到双方约定返还条件、是否逾期等，如存在原缴存主体灭失等客观情形需如实记录。</w:t>
      </w:r>
    </w:p>
    <w:p>
      <w:pPr>
        <w:ind w:firstLine="62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（三）台账未录入在线监管系统。</w:t>
      </w:r>
      <w:r>
        <w:rPr>
          <w:rFonts w:hint="eastAsia" w:ascii="仿宋_GB2312" w:eastAsia="仿宋_GB2312"/>
          <w:sz w:val="32"/>
          <w:szCs w:val="32"/>
        </w:rPr>
        <w:t>各地、各部门征缴的保证金均需实时录入在线监管系统，排查有无遗漏或蓄意隐瞒保证金款项，因故未录入的保证金条目需区分主客观原因并如实记录。</w:t>
      </w:r>
    </w:p>
    <w:p>
      <w:pPr>
        <w:ind w:firstLine="62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（四）已取消保证金执行不到位。</w:t>
      </w:r>
      <w:r>
        <w:rPr>
          <w:rFonts w:hint="eastAsia" w:ascii="仿宋_GB2312" w:eastAsia="仿宋_GB2312"/>
          <w:sz w:val="32"/>
          <w:szCs w:val="32"/>
        </w:rPr>
        <w:t>排查2017年取消的矿山地质环境治理恢复保证金、安全生产风险抵押金等是否执行到位，有关款项是否按规定清退到位。</w:t>
      </w:r>
    </w:p>
    <w:p>
      <w:pPr>
        <w:ind w:firstLine="62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（五）保证金缴存、返还不规范。</w:t>
      </w:r>
      <w:r>
        <w:rPr>
          <w:rFonts w:hint="eastAsia" w:ascii="仿宋_GB2312" w:eastAsia="仿宋_GB2312"/>
          <w:sz w:val="32"/>
          <w:szCs w:val="32"/>
        </w:rPr>
        <w:t>排查是否严格按标准审批、征缴、解存支取动用保证金，如涉及社会稳定的农民工工资保证金是否严格按标准应收尽收。</w:t>
      </w:r>
    </w:p>
    <w:p>
      <w:pPr>
        <w:ind w:firstLine="62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三、整改要求</w:t>
      </w:r>
    </w:p>
    <w:p>
      <w:pPr>
        <w:ind w:firstLine="62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按照通报要求，针对排查发现的保证金问题，</w:t>
      </w:r>
      <w:r>
        <w:rPr>
          <w:rFonts w:hint="eastAsia" w:ascii="仿宋_GB2312" w:eastAsia="仿宋_GB2312"/>
          <w:sz w:val="32"/>
          <w:szCs w:val="32"/>
          <w:lang w:eastAsia="zh-CN"/>
        </w:rPr>
        <w:t>各乡镇区办、各</w:t>
      </w:r>
      <w:r>
        <w:rPr>
          <w:rFonts w:hint="eastAsia" w:ascii="仿宋_GB2312" w:eastAsia="仿宋_GB2312"/>
          <w:sz w:val="32"/>
          <w:szCs w:val="32"/>
        </w:rPr>
        <w:t>部门要即知即改、立行立改，做到发现一起、查处一起，通报一起、震慑一批。</w:t>
      </w:r>
    </w:p>
    <w:p>
      <w:pPr>
        <w:ind w:firstLine="62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（一）禁止清单以外征缴保证金行为。</w:t>
      </w:r>
      <w:r>
        <w:rPr>
          <w:rFonts w:hint="eastAsia" w:ascii="仿宋_GB2312" w:eastAsia="仿宋_GB2312"/>
          <w:sz w:val="32"/>
          <w:szCs w:val="32"/>
        </w:rPr>
        <w:t>针对已录入在线监管系统的清单外其它保证金项目，</w:t>
      </w:r>
      <w:r>
        <w:rPr>
          <w:rFonts w:hint="eastAsia" w:ascii="仿宋_GB2312" w:eastAsia="仿宋_GB2312"/>
          <w:sz w:val="32"/>
          <w:szCs w:val="32"/>
          <w:lang w:eastAsia="zh-CN"/>
        </w:rPr>
        <w:t>严格对照国务院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23项和郑州市部门8项目录清单，</w:t>
      </w:r>
      <w:r>
        <w:rPr>
          <w:rFonts w:hint="eastAsia" w:ascii="仿宋_GB2312" w:eastAsia="仿宋_GB2312"/>
          <w:sz w:val="32"/>
          <w:szCs w:val="32"/>
        </w:rPr>
        <w:t>录入部门</w:t>
      </w:r>
      <w:r>
        <w:rPr>
          <w:rFonts w:hint="eastAsia" w:ascii="仿宋_GB2312" w:eastAsia="仿宋_GB2312"/>
          <w:sz w:val="32"/>
          <w:szCs w:val="32"/>
          <w:lang w:eastAsia="zh-CN"/>
        </w:rPr>
        <w:t>要</w:t>
      </w:r>
      <w:r>
        <w:rPr>
          <w:rFonts w:hint="eastAsia" w:ascii="仿宋_GB2312" w:eastAsia="仿宋_GB2312"/>
          <w:sz w:val="32"/>
          <w:szCs w:val="32"/>
        </w:rPr>
        <w:t>确认保证金所属类别等信息准确无误，如某部门录入的“ⅩⅩ项目质量保证金”实为“工程质量保证金”，避免被误认作清单以外违规保证金项目。针对线下发现的清单以外保证金项目，立即责成征缴部门清退对应保证金。针对确需添加的清单外保证金项目，</w:t>
      </w:r>
      <w:r>
        <w:rPr>
          <w:rFonts w:hint="eastAsia" w:ascii="仿宋_GB2312" w:eastAsia="仿宋_GB2312"/>
          <w:sz w:val="32"/>
          <w:szCs w:val="32"/>
          <w:lang w:eastAsia="zh-CN"/>
        </w:rPr>
        <w:t>如</w:t>
      </w:r>
      <w:r>
        <w:rPr>
          <w:rFonts w:hint="eastAsia" w:ascii="仿宋_GB2312" w:eastAsia="仿宋_GB2312"/>
          <w:sz w:val="32"/>
          <w:szCs w:val="32"/>
        </w:rPr>
        <w:t>无法律、行政法规许可，需由征缴部门逐级上报至国务院相关部委并报请国务院批准后，在下一次省政府部门保证金清单更新时予以补充。</w:t>
      </w:r>
    </w:p>
    <w:p>
      <w:pPr>
        <w:ind w:firstLine="62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（二）规范程序、限期返还逾期保证金。</w:t>
      </w:r>
      <w:r>
        <w:rPr>
          <w:rFonts w:hint="eastAsia" w:ascii="仿宋_GB2312" w:eastAsia="仿宋_GB2312"/>
          <w:sz w:val="32"/>
          <w:szCs w:val="32"/>
        </w:rPr>
        <w:t>针对原存主体灭失或无法及时与缴存主体取得有效联系的情形，征缴主体应履行逾期保证金清退公告义务，相应账款按财会程序核算处理。针对其它符合返还条件的逾期保证金情形，征缴部门依法依规限期清退保证金。</w:t>
      </w:r>
    </w:p>
    <w:p>
      <w:pPr>
        <w:ind w:firstLine="62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（三）完善保证金在线监管系统台账。</w:t>
      </w:r>
      <w:r>
        <w:rPr>
          <w:rFonts w:hint="eastAsia" w:ascii="仿宋_GB2312" w:eastAsia="仿宋_GB2312"/>
          <w:sz w:val="32"/>
          <w:szCs w:val="32"/>
        </w:rPr>
        <w:t>针对排查发现的未纳入在线监管系统保证金项目，征缴部门及时录入在线监管系统。针对发现的误录入保证金项目，录入部门核实更正，确保系统台账完善准确。</w:t>
      </w:r>
    </w:p>
    <w:p>
      <w:pPr>
        <w:ind w:firstLine="62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（四）落实已取消保证金相关政策。</w:t>
      </w:r>
      <w:r>
        <w:rPr>
          <w:rFonts w:hint="eastAsia" w:ascii="仿宋_GB2312" w:eastAsia="仿宋_GB2312"/>
          <w:sz w:val="32"/>
          <w:szCs w:val="32"/>
        </w:rPr>
        <w:t>针对可能存在的继续征缴矿山地质环境治理恢复保证金、安全生产风险抵押金等违规行，要严肃查处，处理结果应及时抄报</w:t>
      </w:r>
      <w:r>
        <w:rPr>
          <w:rFonts w:hint="eastAsia" w:ascii="仿宋_GB2312" w:eastAsia="仿宋_GB2312"/>
          <w:sz w:val="32"/>
          <w:szCs w:val="32"/>
          <w:lang w:eastAsia="zh-CN"/>
        </w:rPr>
        <w:t>郑州市减轻企业负担工作领导小组办公室</w:t>
      </w:r>
      <w:r>
        <w:rPr>
          <w:rFonts w:hint="eastAsia" w:ascii="仿宋_GB2312" w:eastAsia="仿宋_GB2312"/>
          <w:sz w:val="32"/>
          <w:szCs w:val="32"/>
        </w:rPr>
        <w:t>。针对仍有上述两项保证金挂账的部门，有关部门立即依法依规清退到位。</w:t>
      </w:r>
    </w:p>
    <w:p>
      <w:pPr>
        <w:ind w:firstLine="62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（五）规范保证金审批缴存退还行为。</w:t>
      </w:r>
      <w:r>
        <w:rPr>
          <w:rFonts w:hint="eastAsia" w:ascii="仿宋_GB2312" w:eastAsia="仿宋_GB2312"/>
          <w:sz w:val="32"/>
          <w:szCs w:val="32"/>
        </w:rPr>
        <w:t>政府有关部门应指导本系统依法合规开展保证金业务，按照保证金目录清单显示的缴存、解存支取动用审批程序，执行相应的征缴、清退等工作。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45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Verdana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各</w:t>
      </w:r>
      <w:r>
        <w:rPr>
          <w:rFonts w:hint="eastAsia" w:ascii="仿宋_GB2312" w:hAnsi="Verdana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乡镇人民政府、区管委会，各街道办事处，市人民政府各部门，</w:t>
      </w:r>
      <w:r>
        <w:rPr>
          <w:rFonts w:hint="eastAsia" w:ascii="仿宋_GB2312" w:eastAsia="仿宋_GB2312"/>
          <w:sz w:val="32"/>
          <w:szCs w:val="32"/>
        </w:rPr>
        <w:t>要高度重视保证金问题排查整改工作，将排查整改工作落实到人，于2019年6月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日前，将排查整改工作情况（需加盖公章）以电邮扫描形式</w:t>
      </w:r>
      <w:r>
        <w:rPr>
          <w:rFonts w:hint="eastAsia" w:ascii="仿宋_GB2312" w:eastAsia="仿宋_GB2312"/>
          <w:sz w:val="32"/>
          <w:szCs w:val="32"/>
          <w:lang w:eastAsia="zh-CN"/>
        </w:rPr>
        <w:t>反馈市工业发展工作小组办公室</w:t>
      </w:r>
      <w:r>
        <w:rPr>
          <w:rFonts w:hint="eastAsia" w:ascii="仿宋_GB2312" w:eastAsia="仿宋_GB2312"/>
          <w:sz w:val="32"/>
          <w:szCs w:val="32"/>
        </w:rPr>
        <w:t>（邮箱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fldChar w:fldCharType="begin"/>
      </w:r>
      <w:r>
        <w:rPr>
          <w:rFonts w:hint="eastAsia" w:ascii="仿宋_GB2312" w:eastAsia="仿宋_GB2312"/>
          <w:sz w:val="32"/>
          <w:szCs w:val="32"/>
        </w:rPr>
        <w:instrText xml:space="preserve"> HYPERLINK "mailto:hngxtjf@163.com" </w:instrText>
      </w:r>
      <w:r>
        <w:rPr>
          <w:rFonts w:hint="eastAsia" w:ascii="仿宋_GB2312" w:eastAsia="仿宋_GB2312"/>
          <w:sz w:val="32"/>
          <w:szCs w:val="32"/>
        </w:rPr>
        <w:fldChar w:fldCharType="separate"/>
      </w:r>
      <w:r>
        <w:rPr>
          <w:rFonts w:hint="eastAsia" w:ascii="仿宋_GB2312" w:eastAsia="仿宋_GB2312"/>
          <w:sz w:val="32"/>
          <w:szCs w:val="32"/>
          <w:lang w:val="en-US" w:eastAsia="zh-CN"/>
        </w:rPr>
        <w:t>dfkgwyxk</w:t>
      </w:r>
      <w:r>
        <w:rPr>
          <w:rFonts w:hint="eastAsia" w:ascii="仿宋_GB2312" w:eastAsia="仿宋_GB2312"/>
          <w:sz w:val="32"/>
          <w:szCs w:val="32"/>
        </w:rPr>
        <w:t>@163.com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）。</w:t>
      </w:r>
      <w:r>
        <w:rPr>
          <w:rFonts w:hint="eastAsia" w:ascii="仿宋_GB2312" w:hAnsi="Verdana" w:eastAsia="仿宋_GB2312" w:cs="仿宋_GB2312"/>
          <w:b w:val="0"/>
          <w:i w:val="0"/>
          <w:caps w:val="0"/>
          <w:color w:val="000000"/>
          <w:spacing w:val="0"/>
          <w:sz w:val="31"/>
          <w:szCs w:val="31"/>
        </w:rPr>
        <w:t>逾期不报将视为无涉企保证金并承担有关责任。</w:t>
      </w:r>
    </w:p>
    <w:p>
      <w:pPr>
        <w:ind w:firstLine="62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附件：国务院部门涉企保证金目录清单</w:t>
      </w:r>
    </w:p>
    <w:p>
      <w:pPr>
        <w:ind w:firstLine="62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lang w:eastAsia="zh-CN"/>
        </w:rPr>
        <w:t>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62852206）</w:t>
      </w:r>
    </w:p>
    <w:p>
      <w:pPr>
        <w:ind w:firstLine="62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2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日    </w:t>
      </w:r>
    </w:p>
    <w:sectPr>
      <w:footerReference r:id="rId3" w:type="default"/>
      <w:footerReference r:id="rId4" w:type="even"/>
      <w:pgSz w:w="11906" w:h="16838"/>
      <w:pgMar w:top="2098" w:right="1531" w:bottom="2041" w:left="1588" w:header="851" w:footer="1418" w:gutter="0"/>
      <w:cols w:space="720" w:num="1"/>
      <w:docGrid w:type="linesAndChars" w:linePitch="577" w:charSpace="-21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  <w:ind w:right="360" w:firstLine="360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D28BE"/>
    <w:rsid w:val="0AE359C2"/>
    <w:rsid w:val="5C302F62"/>
    <w:rsid w:val="65E820C8"/>
    <w:rsid w:val="725D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2019-06-19T06:48:00Z</dcterms:created>
  <dc:creator>Administrator</dc:creator>
  <cp:lastModifiedBy>Administrator</cp:lastModifiedBy>
  <dcterms:modified xsi:type="dcterms:W3CDTF">2019-06-19T07:18:57Z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